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E2E6E8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9660"/>
      </w:tblGrid>
      <w:tr w:rsidR="008349DF" w:rsidRPr="008349DF">
        <w:trPr>
          <w:tblCellSpacing w:w="0" w:type="dxa"/>
        </w:trPr>
        <w:tc>
          <w:tcPr>
            <w:tcW w:w="0" w:type="auto"/>
            <w:shd w:val="clear" w:color="auto" w:fill="E2E6E8"/>
            <w:vAlign w:val="center"/>
            <w:hideMark/>
          </w:tcPr>
          <w:p w:rsidR="008349DF" w:rsidRPr="008349DF" w:rsidRDefault="008349DF" w:rsidP="008349DF">
            <w:pPr>
              <w:spacing w:after="72" w:line="240" w:lineRule="auto"/>
              <w:outlineLvl w:val="0"/>
              <w:rPr>
                <w:rFonts w:ascii="Verdana" w:eastAsia="Times New Roman" w:hAnsi="Verdana" w:cs="Times New Roman"/>
                <w:color w:val="474F57"/>
                <w:kern w:val="36"/>
                <w:sz w:val="36"/>
                <w:szCs w:val="36"/>
              </w:rPr>
            </w:pPr>
            <w:r w:rsidRPr="008349DF">
              <w:rPr>
                <w:rFonts w:ascii="Verdana" w:eastAsia="Times New Roman" w:hAnsi="Verdana" w:cs="Times New Roman"/>
                <w:color w:val="474F57"/>
                <w:kern w:val="36"/>
                <w:sz w:val="36"/>
                <w:szCs w:val="36"/>
              </w:rPr>
              <w:t>Radiant Barrier - Tax Credits</w:t>
            </w:r>
          </w:p>
        </w:tc>
      </w:tr>
      <w:tr w:rsidR="008349DF" w:rsidRPr="008349DF">
        <w:trPr>
          <w:tblCellSpacing w:w="0" w:type="dxa"/>
        </w:trPr>
        <w:tc>
          <w:tcPr>
            <w:tcW w:w="0" w:type="auto"/>
            <w:shd w:val="clear" w:color="auto" w:fill="E2E6E8"/>
            <w:vAlign w:val="center"/>
            <w:hideMark/>
          </w:tcPr>
          <w:p w:rsidR="008349DF" w:rsidRPr="008349DF" w:rsidRDefault="008349DF" w:rsidP="008349DF">
            <w:pPr>
              <w:spacing w:after="48" w:line="240" w:lineRule="auto"/>
              <w:outlineLvl w:val="1"/>
              <w:rPr>
                <w:rFonts w:ascii="Verdana" w:eastAsia="Times New Roman" w:hAnsi="Verdana" w:cs="Times New Roman"/>
                <w:b/>
                <w:bCs/>
                <w:color w:val="2A3A4A"/>
                <w:sz w:val="20"/>
                <w:szCs w:val="20"/>
              </w:rPr>
            </w:pPr>
            <w:r w:rsidRPr="008349DF">
              <w:rPr>
                <w:rFonts w:ascii="Verdana" w:eastAsia="Times New Roman" w:hAnsi="Verdana" w:cs="Times New Roman"/>
                <w:b/>
                <w:bCs/>
                <w:color w:val="2A3A4A"/>
                <w:sz w:val="20"/>
                <w:szCs w:val="20"/>
              </w:rPr>
              <w:t>Emergency Economic Stabilization Act of 2008</w:t>
            </w:r>
          </w:p>
          <w:p w:rsidR="008349DF" w:rsidRPr="008349DF" w:rsidRDefault="008349DF" w:rsidP="008349DF">
            <w:pPr>
              <w:spacing w:after="48" w:line="240" w:lineRule="auto"/>
              <w:outlineLvl w:val="1"/>
              <w:rPr>
                <w:rFonts w:ascii="Verdana" w:eastAsia="Times New Roman" w:hAnsi="Verdana" w:cs="Times New Roman"/>
                <w:b/>
                <w:bCs/>
                <w:color w:val="2A3A4A"/>
                <w:sz w:val="20"/>
                <w:szCs w:val="20"/>
              </w:rPr>
            </w:pPr>
            <w:r w:rsidRPr="008349DF">
              <w:rPr>
                <w:rFonts w:ascii="Verdana" w:eastAsia="Times New Roman" w:hAnsi="Verdana" w:cs="Times New Roman"/>
                <w:b/>
                <w:bCs/>
                <w:color w:val="2A3A4A"/>
                <w:sz w:val="20"/>
                <w:szCs w:val="20"/>
              </w:rPr>
              <w:t>The American Recovery and Reinvestment Act of 2009</w:t>
            </w:r>
          </w:p>
          <w:p w:rsidR="008349DF" w:rsidRPr="008349DF" w:rsidRDefault="008349DF" w:rsidP="008349DF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161E26"/>
                <w:sz w:val="13"/>
                <w:szCs w:val="13"/>
              </w:rPr>
            </w:pPr>
            <w:r w:rsidRPr="008349DF">
              <w:rPr>
                <w:rFonts w:ascii="Verdana" w:eastAsia="Times New Roman" w:hAnsi="Verdana" w:cs="Times New Roman"/>
                <w:color w:val="161E26"/>
                <w:sz w:val="13"/>
                <w:szCs w:val="13"/>
              </w:rPr>
              <w:t xml:space="preserve">The “Emergency Economic Stabilization Act of 2008" extended the tax credits for energy efficient home improvements which expired in 2007.  Federal tax credits will be given for </w:t>
            </w:r>
            <w:proofErr w:type="spellStart"/>
            <w:r w:rsidRPr="008349DF">
              <w:rPr>
                <w:rFonts w:ascii="Verdana" w:eastAsia="Times New Roman" w:hAnsi="Verdana" w:cs="Times New Roman"/>
                <w:color w:val="161E26"/>
                <w:sz w:val="13"/>
                <w:szCs w:val="13"/>
              </w:rPr>
              <w:t>qualifing</w:t>
            </w:r>
            <w:proofErr w:type="spellEnd"/>
            <w:r w:rsidRPr="008349DF">
              <w:rPr>
                <w:rFonts w:ascii="Verdana" w:eastAsia="Times New Roman" w:hAnsi="Verdana" w:cs="Times New Roman"/>
                <w:color w:val="161E26"/>
                <w:sz w:val="13"/>
                <w:szCs w:val="13"/>
              </w:rPr>
              <w:t xml:space="preserve"> improvements made during 2009.  On Feb 17, 2009 President Obama signed the stimulus bill "The American Recovery and Reinvestment Act of 2009" increasing many of the tax credits.</w:t>
            </w:r>
          </w:p>
          <w:p w:rsidR="008349DF" w:rsidRPr="008349DF" w:rsidRDefault="008349DF" w:rsidP="008349DF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3"/>
                <w:szCs w:val="13"/>
              </w:rPr>
            </w:pPr>
            <w:r w:rsidRPr="008349DF">
              <w:rPr>
                <w:rFonts w:ascii="Verdana" w:eastAsia="Times New Roman" w:hAnsi="Verdana" w:cs="Times New Roman"/>
                <w:color w:val="000000"/>
                <w:sz w:val="13"/>
                <w:szCs w:val="13"/>
              </w:rPr>
              <w:br/>
            </w:r>
          </w:p>
          <w:p w:rsidR="008349DF" w:rsidRPr="008349DF" w:rsidRDefault="008349DF" w:rsidP="008349D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840"/>
              <w:rPr>
                <w:rFonts w:ascii="Verdana" w:eastAsia="Times New Roman" w:hAnsi="Verdana" w:cs="Times New Roman"/>
                <w:color w:val="3D546C"/>
                <w:sz w:val="16"/>
                <w:szCs w:val="16"/>
              </w:rPr>
            </w:pPr>
            <w:r w:rsidRPr="008349DF">
              <w:rPr>
                <w:rFonts w:ascii="Verdana" w:eastAsia="Times New Roman" w:hAnsi="Verdana" w:cs="Times New Roman"/>
                <w:b/>
                <w:bCs/>
                <w:color w:val="3D546C"/>
                <w:sz w:val="16"/>
                <w:szCs w:val="16"/>
              </w:rPr>
              <w:t>Residential</w:t>
            </w:r>
            <w:r w:rsidRPr="008349DF">
              <w:rPr>
                <w:rFonts w:ascii="Verdana" w:eastAsia="Times New Roman" w:hAnsi="Verdana" w:cs="Times New Roman"/>
                <w:color w:val="3D546C"/>
                <w:sz w:val="16"/>
                <w:szCs w:val="16"/>
              </w:rPr>
              <w:t xml:space="preserve"> customers can now receive a tax credit of </w:t>
            </w:r>
            <w:r w:rsidRPr="008349DF">
              <w:rPr>
                <w:rFonts w:ascii="Verdana" w:eastAsia="Times New Roman" w:hAnsi="Verdana" w:cs="Times New Roman"/>
                <w:b/>
                <w:bCs/>
                <w:color w:val="3D546C"/>
                <w:sz w:val="16"/>
                <w:szCs w:val="16"/>
                <w:u w:val="single"/>
              </w:rPr>
              <w:t>30%</w:t>
            </w:r>
            <w:r w:rsidRPr="008349DF">
              <w:rPr>
                <w:rFonts w:ascii="Verdana" w:eastAsia="Times New Roman" w:hAnsi="Verdana" w:cs="Times New Roman"/>
                <w:color w:val="3D546C"/>
                <w:sz w:val="16"/>
                <w:szCs w:val="16"/>
              </w:rPr>
              <w:t xml:space="preserve"> of the cost of material up to a $1,500 total credit, when you purchase </w:t>
            </w:r>
            <w:proofErr w:type="spellStart"/>
            <w:r w:rsidRPr="008349DF">
              <w:rPr>
                <w:rFonts w:ascii="Verdana" w:eastAsia="Times New Roman" w:hAnsi="Verdana" w:cs="Times New Roman"/>
                <w:color w:val="3D546C"/>
                <w:sz w:val="16"/>
                <w:szCs w:val="16"/>
              </w:rPr>
              <w:t>qualifing</w:t>
            </w:r>
            <w:proofErr w:type="spellEnd"/>
            <w:r w:rsidRPr="008349DF">
              <w:rPr>
                <w:rFonts w:ascii="Verdana" w:eastAsia="Times New Roman" w:hAnsi="Verdana" w:cs="Times New Roman"/>
                <w:color w:val="3D546C"/>
                <w:sz w:val="16"/>
                <w:szCs w:val="16"/>
              </w:rPr>
              <w:t xml:space="preserve"> products in 2009 for use in your residence.  The residential applications that qualify for this credit are attics, walls, and crawl spaces. </w:t>
            </w:r>
          </w:p>
          <w:p w:rsidR="008349DF" w:rsidRPr="008349DF" w:rsidRDefault="008349DF" w:rsidP="008349DF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3"/>
                <w:szCs w:val="13"/>
              </w:rPr>
            </w:pPr>
            <w:r w:rsidRPr="008349DF">
              <w:rPr>
                <w:rFonts w:ascii="Verdana" w:eastAsia="Times New Roman" w:hAnsi="Verdana" w:cs="Times New Roman"/>
                <w:color w:val="000000"/>
                <w:sz w:val="13"/>
                <w:szCs w:val="13"/>
              </w:rPr>
              <w:br/>
            </w:r>
          </w:p>
          <w:p w:rsidR="008349DF" w:rsidRPr="008349DF" w:rsidRDefault="008349DF" w:rsidP="008349DF">
            <w:pPr>
              <w:spacing w:after="48" w:line="240" w:lineRule="auto"/>
              <w:outlineLvl w:val="1"/>
              <w:rPr>
                <w:rFonts w:ascii="Verdana" w:eastAsia="Times New Roman" w:hAnsi="Verdana" w:cs="Times New Roman"/>
                <w:b/>
                <w:bCs/>
                <w:color w:val="2A3A4A"/>
                <w:sz w:val="20"/>
                <w:szCs w:val="20"/>
              </w:rPr>
            </w:pPr>
            <w:r w:rsidRPr="008349DF">
              <w:rPr>
                <w:rFonts w:ascii="Verdana" w:eastAsia="Times New Roman" w:hAnsi="Verdana" w:cs="Times New Roman"/>
                <w:b/>
                <w:bCs/>
                <w:color w:val="2A3A4A"/>
                <w:sz w:val="20"/>
                <w:szCs w:val="20"/>
              </w:rPr>
              <w:t>The Energy Tax Incentives Act of 2005</w:t>
            </w:r>
          </w:p>
          <w:p w:rsidR="008349DF" w:rsidRPr="008349DF" w:rsidRDefault="008349DF" w:rsidP="008349DF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161E26"/>
                <w:sz w:val="13"/>
                <w:szCs w:val="13"/>
              </w:rPr>
            </w:pPr>
            <w:r w:rsidRPr="008349DF">
              <w:rPr>
                <w:rFonts w:ascii="Verdana" w:eastAsia="Times New Roman" w:hAnsi="Verdana" w:cs="Times New Roman"/>
                <w:color w:val="161E26"/>
                <w:sz w:val="13"/>
                <w:szCs w:val="13"/>
              </w:rPr>
              <w:t>The Energy Tax Incentives Act of 2005 Section 25C allows for tax credits on energy upgrades including insulation products when purchased in 2006 or 2007.</w:t>
            </w:r>
          </w:p>
          <w:p w:rsidR="008349DF" w:rsidRPr="008349DF" w:rsidRDefault="008349DF" w:rsidP="008349D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40"/>
              <w:rPr>
                <w:rFonts w:ascii="Verdana" w:eastAsia="Times New Roman" w:hAnsi="Verdana" w:cs="Times New Roman"/>
                <w:color w:val="3D546C"/>
                <w:sz w:val="16"/>
                <w:szCs w:val="16"/>
              </w:rPr>
            </w:pPr>
            <w:r w:rsidRPr="008349DF">
              <w:rPr>
                <w:rFonts w:ascii="Verdana" w:eastAsia="Times New Roman" w:hAnsi="Verdana" w:cs="Times New Roman"/>
                <w:b/>
                <w:bCs/>
                <w:color w:val="3D546C"/>
                <w:sz w:val="16"/>
                <w:szCs w:val="16"/>
              </w:rPr>
              <w:t>Residential</w:t>
            </w:r>
            <w:r w:rsidRPr="008349DF">
              <w:rPr>
                <w:rFonts w:ascii="Verdana" w:eastAsia="Times New Roman" w:hAnsi="Verdana" w:cs="Times New Roman"/>
                <w:color w:val="3D546C"/>
                <w:sz w:val="16"/>
                <w:szCs w:val="16"/>
              </w:rPr>
              <w:t xml:space="preserve"> customers can receive a tax credit of 10% of the cost of material when you purchase radiant barrier in 2006 or 2007 for use in your residence.  The maximum cumulative amount you can receive for 2006 and 2007 is $500.  The residential applications that qualify for this credit are attics, walls, and crawl spaces. </w:t>
            </w:r>
          </w:p>
          <w:p w:rsidR="008349DF" w:rsidRPr="008349DF" w:rsidRDefault="008349DF" w:rsidP="008349D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40"/>
              <w:rPr>
                <w:rFonts w:ascii="Verdana" w:eastAsia="Times New Roman" w:hAnsi="Verdana" w:cs="Times New Roman"/>
                <w:color w:val="3D546C"/>
                <w:sz w:val="16"/>
                <w:szCs w:val="16"/>
              </w:rPr>
            </w:pPr>
            <w:r w:rsidRPr="008349DF">
              <w:rPr>
                <w:rFonts w:ascii="Verdana" w:eastAsia="Times New Roman" w:hAnsi="Verdana" w:cs="Times New Roman"/>
                <w:b/>
                <w:bCs/>
                <w:color w:val="3D546C"/>
                <w:sz w:val="16"/>
                <w:szCs w:val="16"/>
              </w:rPr>
              <w:t>Commercial</w:t>
            </w:r>
            <w:r w:rsidRPr="008349DF">
              <w:rPr>
                <w:rFonts w:ascii="Verdana" w:eastAsia="Times New Roman" w:hAnsi="Verdana" w:cs="Times New Roman"/>
                <w:color w:val="3D546C"/>
                <w:sz w:val="16"/>
                <w:szCs w:val="16"/>
              </w:rPr>
              <w:t xml:space="preserve"> businesses can receive a tax credit of 30% of the cost of material when they purchase radiant barrier in 2006 or 2007 for use in a commercial building. </w:t>
            </w:r>
          </w:p>
          <w:p w:rsidR="008349DF" w:rsidRPr="008349DF" w:rsidRDefault="008349DF" w:rsidP="008349DF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3"/>
                <w:szCs w:val="13"/>
              </w:rPr>
            </w:pPr>
            <w:r w:rsidRPr="008349DF">
              <w:rPr>
                <w:rFonts w:ascii="Verdana" w:eastAsia="Times New Roman" w:hAnsi="Verdana" w:cs="Times New Roman"/>
                <w:color w:val="000000"/>
                <w:sz w:val="13"/>
                <w:szCs w:val="13"/>
              </w:rPr>
              <w:br/>
            </w:r>
          </w:p>
          <w:p w:rsidR="008349DF" w:rsidRPr="008349DF" w:rsidRDefault="008349DF" w:rsidP="008349DF">
            <w:pPr>
              <w:spacing w:after="48" w:line="240" w:lineRule="auto"/>
              <w:outlineLvl w:val="1"/>
              <w:rPr>
                <w:rFonts w:ascii="Verdana" w:eastAsia="Times New Roman" w:hAnsi="Verdana" w:cs="Times New Roman"/>
                <w:b/>
                <w:bCs/>
                <w:color w:val="2A3A4A"/>
                <w:sz w:val="20"/>
                <w:szCs w:val="20"/>
              </w:rPr>
            </w:pPr>
            <w:r w:rsidRPr="008349DF">
              <w:rPr>
                <w:rFonts w:ascii="Verdana" w:eastAsia="Times New Roman" w:hAnsi="Verdana" w:cs="Times New Roman"/>
                <w:b/>
                <w:bCs/>
                <w:color w:val="2A3A4A"/>
                <w:sz w:val="20"/>
                <w:szCs w:val="20"/>
              </w:rPr>
              <w:t>Links</w:t>
            </w:r>
          </w:p>
          <w:p w:rsidR="008349DF" w:rsidRPr="008349DF" w:rsidRDefault="008349DF" w:rsidP="008349DF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3"/>
                <w:szCs w:val="13"/>
              </w:rPr>
            </w:pPr>
            <w:hyperlink r:id="rId5" w:tgtFrame="New_Window" w:history="1">
              <w:r w:rsidRPr="008349DF">
                <w:rPr>
                  <w:rFonts w:ascii="Verdana" w:eastAsia="Times New Roman" w:hAnsi="Verdana" w:cs="Times New Roman"/>
                  <w:color w:val="0066CC"/>
                  <w:sz w:val="13"/>
                  <w:u w:val="single"/>
                </w:rPr>
                <w:t>Energy Star on Tax Credits</w:t>
              </w:r>
            </w:hyperlink>
            <w:r w:rsidRPr="008349DF">
              <w:rPr>
                <w:rFonts w:ascii="Verdana" w:eastAsia="Times New Roman" w:hAnsi="Verdana" w:cs="Times New Roman"/>
                <w:color w:val="161E26"/>
                <w:sz w:val="13"/>
                <w:szCs w:val="13"/>
              </w:rPr>
              <w:br/>
            </w:r>
            <w:r w:rsidRPr="008349DF">
              <w:rPr>
                <w:rFonts w:ascii="Verdana" w:eastAsia="Times New Roman" w:hAnsi="Verdana" w:cs="Times New Roman"/>
                <w:color w:val="000000"/>
                <w:sz w:val="13"/>
                <w:szCs w:val="13"/>
              </w:rPr>
              <w:br/>
            </w:r>
          </w:p>
          <w:p w:rsidR="008349DF" w:rsidRPr="008349DF" w:rsidRDefault="008349DF" w:rsidP="008349DF">
            <w:pPr>
              <w:spacing w:after="240" w:line="240" w:lineRule="auto"/>
              <w:ind w:left="72" w:right="48"/>
              <w:jc w:val="center"/>
              <w:rPr>
                <w:rFonts w:ascii="Tahoma" w:eastAsia="Times New Roman" w:hAnsi="Tahoma" w:cs="Tahoma"/>
                <w:color w:val="161E26"/>
                <w:sz w:val="14"/>
                <w:szCs w:val="14"/>
              </w:rPr>
            </w:pPr>
            <w:r w:rsidRPr="008349DF">
              <w:rPr>
                <w:rFonts w:ascii="Tahoma" w:eastAsia="Times New Roman" w:hAnsi="Tahoma" w:cs="Tahoma"/>
                <w:color w:val="161E26"/>
                <w:sz w:val="14"/>
                <w:szCs w:val="14"/>
              </w:rPr>
              <w:t>*We strongly advise you to consult with your tax advisor on all matters regarding taxes prior to filing.</w:t>
            </w:r>
          </w:p>
        </w:tc>
      </w:tr>
    </w:tbl>
    <w:p w:rsidR="00CB1F09" w:rsidRDefault="00CB1F09"/>
    <w:sectPr w:rsidR="00CB1F09" w:rsidSect="00CB1F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6504E"/>
    <w:multiLevelType w:val="multilevel"/>
    <w:tmpl w:val="5C3A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974B65"/>
    <w:multiLevelType w:val="multilevel"/>
    <w:tmpl w:val="57CC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3"/>
  <w:proofState w:spelling="clean" w:grammar="clean"/>
  <w:defaultTabStop w:val="720"/>
  <w:characterSpacingControl w:val="doNotCompress"/>
  <w:compat/>
  <w:rsids>
    <w:rsidRoot w:val="008349DF"/>
    <w:rsid w:val="008349DF"/>
    <w:rsid w:val="00CB1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F09"/>
  </w:style>
  <w:style w:type="paragraph" w:styleId="Heading1">
    <w:name w:val="heading 1"/>
    <w:basedOn w:val="Normal"/>
    <w:link w:val="Heading1Char"/>
    <w:uiPriority w:val="9"/>
    <w:qFormat/>
    <w:rsid w:val="008349DF"/>
    <w:pPr>
      <w:spacing w:after="72" w:line="240" w:lineRule="auto"/>
      <w:outlineLvl w:val="0"/>
    </w:pPr>
    <w:rPr>
      <w:rFonts w:ascii="Verdana" w:eastAsia="Times New Roman" w:hAnsi="Verdana" w:cs="Times New Roman"/>
      <w:color w:val="474F57"/>
      <w:kern w:val="36"/>
      <w:sz w:val="36"/>
      <w:szCs w:val="36"/>
    </w:rPr>
  </w:style>
  <w:style w:type="paragraph" w:styleId="Heading2">
    <w:name w:val="heading 2"/>
    <w:basedOn w:val="Normal"/>
    <w:link w:val="Heading2Char"/>
    <w:uiPriority w:val="9"/>
    <w:qFormat/>
    <w:rsid w:val="008349DF"/>
    <w:pPr>
      <w:spacing w:after="48" w:line="240" w:lineRule="auto"/>
      <w:outlineLvl w:val="1"/>
    </w:pPr>
    <w:rPr>
      <w:rFonts w:ascii="Verdana" w:eastAsia="Times New Roman" w:hAnsi="Verdana" w:cs="Times New Roman"/>
      <w:b/>
      <w:bCs/>
      <w:color w:val="2A3A4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9DF"/>
    <w:rPr>
      <w:rFonts w:ascii="Verdana" w:eastAsia="Times New Roman" w:hAnsi="Verdana" w:cs="Times New Roman"/>
      <w:color w:val="474F57"/>
      <w:kern w:val="36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349DF"/>
    <w:rPr>
      <w:rFonts w:ascii="Verdana" w:eastAsia="Times New Roman" w:hAnsi="Verdana" w:cs="Times New Roman"/>
      <w:b/>
      <w:bCs/>
      <w:color w:val="2A3A4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349DF"/>
    <w:rPr>
      <w:rFonts w:ascii="Verdana" w:hAnsi="Verdana" w:hint="default"/>
      <w:i w:val="0"/>
      <w:iCs w:val="0"/>
      <w:strike w:val="0"/>
      <w:dstrike w:val="0"/>
      <w:color w:val="0066CC"/>
      <w:sz w:val="13"/>
      <w:szCs w:val="13"/>
      <w:u w:val="none"/>
      <w:effect w:val="none"/>
      <w:shd w:val="clear" w:color="auto" w:fill="auto"/>
    </w:rPr>
  </w:style>
  <w:style w:type="paragraph" w:styleId="NormalWeb">
    <w:name w:val="Normal (Web)"/>
    <w:basedOn w:val="Normal"/>
    <w:uiPriority w:val="99"/>
    <w:semiHidden/>
    <w:unhideWhenUsed/>
    <w:rsid w:val="008349DF"/>
    <w:pPr>
      <w:spacing w:after="0" w:line="240" w:lineRule="auto"/>
    </w:pPr>
    <w:rPr>
      <w:rFonts w:ascii="Verdana" w:eastAsia="Times New Roman" w:hAnsi="Verdana" w:cs="Times New Roman"/>
      <w:color w:val="161E26"/>
      <w:sz w:val="13"/>
      <w:szCs w:val="13"/>
    </w:rPr>
  </w:style>
  <w:style w:type="paragraph" w:customStyle="1" w:styleId="p2">
    <w:name w:val="p2"/>
    <w:basedOn w:val="Normal"/>
    <w:rsid w:val="008349DF"/>
    <w:pPr>
      <w:spacing w:after="240" w:line="240" w:lineRule="auto"/>
      <w:ind w:left="72" w:right="48"/>
    </w:pPr>
    <w:rPr>
      <w:rFonts w:ascii="Tahoma" w:eastAsia="Times New Roman" w:hAnsi="Tahoma" w:cs="Tahoma"/>
      <w:color w:val="161E26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8378">
      <w:bodyDiv w:val="1"/>
      <w:marLeft w:val="0"/>
      <w:marRight w:val="0"/>
      <w:marTop w:val="42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95714">
          <w:marLeft w:val="0"/>
          <w:marRight w:val="0"/>
          <w:marTop w:val="0"/>
          <w:marBottom w:val="0"/>
          <w:divBdr>
            <w:top w:val="single" w:sz="4" w:space="12" w:color="474F57"/>
            <w:left w:val="single" w:sz="4" w:space="12" w:color="474F57"/>
            <w:bottom w:val="single" w:sz="4" w:space="12" w:color="474F57"/>
            <w:right w:val="single" w:sz="4" w:space="12" w:color="474F57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nergystar.gov/index.cfm?c=products.pr_tax_credi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Ledfoot</dc:creator>
  <cp:keywords/>
  <dc:description/>
  <cp:lastModifiedBy>Ledfoot</cp:lastModifiedBy>
  <cp:revision>1</cp:revision>
  <dcterms:created xsi:type="dcterms:W3CDTF">2009-02-28T00:33:00Z</dcterms:created>
  <dcterms:modified xsi:type="dcterms:W3CDTF">2009-02-28T00:35:00Z</dcterms:modified>
</cp:coreProperties>
</file>